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2"/>
        <w:jc w:val="center"/>
        <w:rPr>
          <w:rFonts w:ascii="Times New Roman" w:hAnsi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/>
          <w:sz w:val="24"/>
          <w:szCs w:val="24"/>
        </w:rPr>
        <w:t xml:space="preserve">ПОЛОЖЕНИЕ</w:t>
      </w:r>
    </w:p>
    <w:p>
      <w:pPr>
        <w:pStyle w:val="UserStyle_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ПУБЛИЧНЫХ СЛУШАНИЯХ В МУНИЦИПАЛЬНОМ ОБРАЗОВАНИИ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spacing w:after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Общие положения</w:t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Публичные слушания </w:t>
      </w:r>
      <w:r>
        <w:rPr>
          <w:rFonts w:ascii="Symbol" w:hAnsi="Symbol" w:cs="Symbol" w:eastAsia="Symbol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это одна из форм реализации населением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своего конституционного права на местное самоуправление.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Публичные слушания являются прямой формой волеизъявления жителей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и представляют собой обсуждение проектов правовых актов органов местного самоуправления с участием жителей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Публичные слушания проводятся в соответствии с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HYPERLINK "consultantplus://offline/ref=D7B3A3BC42D659721900CE7FB32F5E5BA3D27D4F8FCA4809F71DA016D2ADB85FA82BF44D3588614736D50812T1G" \h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Конституцией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законодательством и законодательством Саратовской области.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Не допускается принятие муниципального правового акта, проект которого выносится на публичные слушания, до получения результатов публичных слушаний.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Решения публичных слушаний носят для органов местного самоуправления рекомендательный характер.</w:t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Вопросы, выносимые на публичные слушания</w:t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 публичные слушания выносятся в обязательном порядке: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проект Устава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, а также проект муниципального нормативного правового акта о внесении изменений и дополнений в Устав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, кроме случаев, когда в Устав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вносятся изменения в форме точного воспроизведения положений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HYPERLINK "consultantplus://offline/ref=D7B3A3BC42D659721900CE7FB32F5E5BA3D27D4F8FCA4809F71DA016D2ADB85FA82BF44D3588614736D50812T1G" \h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Конституции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HYPERLINK "consultantplus://offline/ref=D7B3A3BC42D659721900D072A5430353A9D1244785991454FE1BA84485ADE41AFE22FF1D7ACD345434D114227BC62134FD11TAG" \h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Устава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(Основного Закона) Саратовской области или законов Саратовской области в целях приведения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HYPERLINK "consultantplus://offline/ref=D7B3A3BC42D659721900D072A5430353A9D1244785981D5CF21FA84485ADE41AFE22FF1D68CD6C5E3F815B672ED52330E11953C0C855E916T9G" \h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Устава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в соответствие с этими нормативными правовыми актами;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57"/>
      <w:bookmarkEnd w:id="1"/>
      <w:r>
        <w:rPr>
          <w:rFonts w:ascii="Times New Roman" w:hAnsi="Times New Roman"/>
          <w:sz w:val="24"/>
          <w:szCs w:val="24"/>
        </w:rPr>
        <w:t xml:space="preserve">2) проект бюджета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и отчет о его исполнении;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58"/>
      <w:bookmarkEnd w:id="2"/>
      <w:r>
        <w:rPr>
          <w:rFonts w:ascii="Times New Roman" w:hAnsi="Times New Roman"/>
          <w:sz w:val="24"/>
          <w:szCs w:val="24"/>
        </w:rPr>
        <w:t xml:space="preserve">3) - 4) исключены. 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59"/>
      <w:bookmarkEnd w:id="3"/>
      <w:r>
        <w:rPr>
          <w:rFonts w:ascii="Times New Roman" w:hAnsi="Times New Roman"/>
          <w:sz w:val="24"/>
          <w:szCs w:val="24"/>
        </w:rPr>
        <w:t xml:space="preserve">4.1) проект стратегии социально-экономического развития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61"/>
      <w:bookmarkEnd w:id="4"/>
      <w:r>
        <w:rPr>
          <w:rFonts w:ascii="Times New Roman" w:hAnsi="Times New Roman"/>
          <w:sz w:val="24"/>
          <w:szCs w:val="24"/>
        </w:rPr>
        <w:t xml:space="preserve">5) вопросы о преобразовании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, за исключением случаев, если, в соответствии со статьей 13 Федерального закона от 06.10.2003 </w:t>
      </w:r>
      <w:r>
        <w:rPr>
          <w:rFonts w:ascii="Times New Roman" w:hAnsi="Times New Roman"/>
          <w:sz w:val="24"/>
          <w:szCs w:val="24"/>
        </w:rPr>
        <w:t xml:space="preserve">№</w:t>
      </w:r>
      <w:r>
        <w:rPr>
          <w:rFonts w:ascii="Times New Roman" w:hAnsi="Times New Roman"/>
          <w:sz w:val="24"/>
          <w:szCs w:val="24"/>
        </w:rPr>
        <w:t xml:space="preserve"> 131-ФЗ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, для преобразования муниципального образования требуется получение согласия населения города, выраженного путем голосования.</w:t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Инициаторы проведения публичных слушаний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В соответствии с действующим законодательством публичные слушания могут проводиться: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инициативе группы жителей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в количестве не менее 50 человек;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инициативе главы муниципального образования;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инициативе Саратовской городской Думы.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Органом, ответственным за подготовку и проведение публичных слушаний, является Оргкомитет, который формируется и действует в порядке и на условиях, предусмотренных настоящим Положением.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Абзацы 2, 3 исключены. 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В случае если публичные слушания проводятся по инициативе населения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или Саратовской городской Думы, решение об их проведении принимает Саратовская городская Дума.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Членами инициативной группы могут быть граждане, обладающие правом участвовать в публичных слушаниях.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Члены инициативной группы от имени населения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подают в Саратовскую городскую Думу заявление с инициативой проведения публичных слушаний. В заявлении должны быть указаны: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тема публичных слушаний (вопросы, проект муниципального правового акта, выносимые на публичные слушания);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цели проведения публичных слушаний;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предполагаемая дата и место проведения публичных слушаний;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список кандидатур для включения в состав Оргкомитета.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Заявление подписывается всеми инициаторами публичных слушаний. К заявлению прикладывается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HYPERLINK \l "P213" \h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список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инициативной группы (приложение 1), а также протокол собрания инициативной группы, на котором было принято решение о выдвижении инициативы.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Саратовская городская Дума рассматривает поступившее заявление на ближайшем заседании, на котором вправе с обоснованием необходимости проведения публичных слушаний выступить уполномоченное инициативной группой лицо.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По результатам рассмотрения заявления Саратовская городская Дума принимает решение о проведении публичных слушаний либо об отклонении заявления. В решении о проведении публичных слушаний указываются тема публичных слушаний (вопросы, проект муниципального правового акта, выносимые на публичные слушания), предполагаемая дата и место проведения публичных слушаний, состав и председатель Оргкомитета публичных слушаний.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об отклонении заявления должно быть обоснованным.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В случае если публичные слушания проводятся по инициативе главы муниципального образования, соответствующее решение об их проведении принимает глава муниципального образования.</w:t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Оргкомитет по подготовке и проведению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публичных слушаний</w:t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Саратовская городская Дума или глава муниципального образования, принявшие решение о проведении публичных слушаний, формируют Оргкомитет публичных слушаний (далее </w:t>
      </w:r>
      <w:r>
        <w:rPr>
          <w:rFonts w:ascii="Symbol" w:hAnsi="Symbol" w:cs="Symbol" w:eastAsia="Symbol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Оргкомитет).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Оргкомитета могут входить представители инициативных групп, депутаты Саратовской городской Думы, должностные лица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Оргкомитет проводит подготовительные мероприятия по проведению публичных слушаний в соответствии с настоящим Положением и действующим законодательством Российской Федерации, оформляет протокол проведения публичных слушаний и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HYPERLINK \l "P265" \h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итоговый документ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публичных слушаний.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Оргкомитет в процессе подготовки к публичным слушаниям: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составляет план работы по подготовке и проведению публичных слушаний, определяет ответственных за выполнение отдельных этапов подготовки и плана в целом;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вопросы, выносимые на публичные слушания, и включает их в протокол публичных слушаний;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опубликование в газете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Саратовская панорама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, а также размещение (опубликование) на официальном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(электронный адрес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Интернет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: www.saratovmer.ru) или официальном сайте Саратовской городской Думы (электронный адрес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Интернет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: www.saratovduma.ru) объявления о проведении публичных слушаний;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опубликование в газете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Саратовская панорама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, а также размещение (опубликование) на официальном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(электронный адрес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Интернет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: www.saratovmer.ru) или официальном сайте Саратовской городской Думы (электронный адрес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Интернет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: www.saratovduma.ru) проекта муниципального правового акта, вопросов, выносимых на публичные слушания. В целях заблаговременного ознакомления жителей города проект муниципального правового акта, вопросы, выносимые на публичные слушания, должны быть опубликованы в газете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Саратовская панорама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, а также размещены (опубликованы) на официальном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(электронный адрес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Интернет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: www.saratovmer.ru) или официальном сайте Саратовской городской Думы (электронный адрес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Интернет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: www.saratovduma.ru) не менее чем за 30 календарных дней до даты проведения публичных слушаний. Сроки опубликования по вопросам, указанным в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HYPERLINK \l "P57" \h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подпункте 2 пункта 2.1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Положения, составляют не менее 15 календарных дней до даты проведения публичных слушаний;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опубликование в газете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Саратовская панорама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, а также размещение (опубликование) на официальном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(электронный адрес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Интернет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: www.saratovmer.ru) или официальном сайте Саратовской городской Думы (электронный адрес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Интернет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: www.saratovduma.ru) порядка учета предложений по проекту муниципального правового акта, вопросов, выносимых на публичные слушания, и порядка участия граждан в их обсуждении.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стратегии социально-экономического развития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одновременно с опубликованием в газете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Саратовская панорама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и размещением (опубликованием) на официальном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(электронный адрес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Интернет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: www.saratovmer.ru) размещается на общедоступном информационном ресурсе стратегического планирования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Интернет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 анализ материалов, представленных участниками публичных слушаний;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составляет список лиц, участвующих в публичных слушаниях, включая состав приглашенных лиц;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назначает секретаря публичных слушаний для составления протокола;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докладчиков (содокладчиков);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устанавливает порядок выступлений на публичных слушаниях;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подготовку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HYPERLINK \l "P265" \h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итогового документа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 мотивированным обоснованием принятых решений по образцу согласно приложению 2 к настоящему Положению.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В ходе подготовки проведения публичных слушаний Оргкомитет вправе: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проверять соответствие выносимых на публичные слушания вопросов настоящему Положению и иным нормативным правовым актам Российской Федерации, Саратовской области, муниципальным актам;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приглашать для участия в публичных слушаниях должностных лиц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информировать средства массовой информации о ходе подготовки проведения публичных слушаний;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запрашивать и получать у должностных лиц органов местного самоуправления необходимые сведения, документы и материалы;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привлекать к своей деятельности граждан и специалистов.</w:t>
      </w:r>
    </w:p>
    <w:p>
      <w:pPr>
        <w:pStyle w:val="UserStyle_0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4.5. Объявление о проведении публичных слушаний с указанием места, времени и даты их проведения, контактной информацией Оргкомитета, проект муниципального правового акта, вопросы, выносимые на публичные слушания, порядок учета предложений по проекту муниципального правового акта, вопросам, выносимым на публичные слушания, и порядок участия граждан в их обсуждении подлежат опубликованию в газете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Саратовская панорама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, а также размещению (опубликованию) на официальном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(электронный адрес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Интернет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: www.saratovmer.ru) или официальном сайте Саратовской городской Думы (электронный адрес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Интернет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: www.saratovduma.ru) не менее чем за 30 календарных дней до даты проведения публичных слушаний. Объявление о проведении публичных слушаний по проекту стратегии социально-экономического развития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также размещается на общедоступном информационном ресурсе стратегического планирования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Интернет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заблаговременного оповещения жителей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о времени и месте проведения публичных слушаний может быть использована федеральная государственная информационная система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Единый портал государственных и муниципальных услуг (функций)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(далее - Единый портал), порядок использования которой для целей настоящего пункта устанавливается Правительством Российской Федерации.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опубликования в газете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Саратовская панорама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и размещения (опубликования) на официальном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(электронный адрес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Интернет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: www.saratovmer.ru) объявления о проведении публичных слушаний по проекту бюджета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период, отчету об исполнении бюджета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, а также проекта бюджета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период, отчета об исполнении бюджета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составляют не менее 15 календарных дней до даты проведения публичных слушаний.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Объявление, кроме того, может даваться в форме: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исключен. 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объявлений по местному радио или телевидению;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вывешивания объявлений в местах, определяемых Оргкомитетом.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Полномочия Оргкомитета прекращаются после передачи в соответствии с настоящим Положением итогового документа публичных слушаний Саратовской городской Думе или главе муниципального образования, принявшим решение о проведении публичных слушаний.</w:t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Участники публичных слушаний</w:t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138"/>
      <w:bookmarkEnd w:id="5"/>
      <w:r>
        <w:rPr>
          <w:rFonts w:ascii="Times New Roman" w:hAnsi="Times New Roman"/>
          <w:sz w:val="24"/>
          <w:szCs w:val="24"/>
        </w:rPr>
        <w:t xml:space="preserve">5.1. Правом на участие и выступление в публичных слушаниях обладают граждане, постоянно или преимущественно проживающие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и достигшие на момент проведения публичных слушаний 18-летнего возраста, которые внесли в Оргкомитет в письменной форме или посредством официального сайта органа местного самоуправления, принявшего решение о проведении публичных слушаний (официальный сайт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(электронный адрес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Интернет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: www.saratovmer.ru) или официальный сайт Саратовской городской Думы (электронный адрес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Интернет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: www.saratovduma.ru), а также общедоступного информационного ресурса стратегического планирования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Интернет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по вопросу, указанному в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HYPERLINK \l "P59" \h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подпункте 4.1 пункта 2.1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Положения, свои предложения по теме публичных слушаний не позднее чем за 3 дня до даты проведения публичных слушаний.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возможности представления жителями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в публичных слушаниях может быть использован Единый портал, порядок использования которого для целей настоящего пункта устанавливается Правительством Российской Федерации.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Во время проведения публичных слушаний участникам с правом выступления предоставляется слово для аргументации своих предложений, внесенных в порядке, предусмотренном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HYPERLINK \l "P138" \h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пунктом 5.1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142"/>
      <w:bookmarkEnd w:id="6"/>
      <w:r>
        <w:rPr>
          <w:rFonts w:ascii="Times New Roman" w:hAnsi="Times New Roman"/>
          <w:sz w:val="24"/>
          <w:szCs w:val="24"/>
        </w:rPr>
        <w:t xml:space="preserve">5.3. Кроме того, участниками публичных слушаний с правом обсуждения могут быть все заинтересованные жители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, зарегистрированные в качестве участников публичных слушаний, но не внесшие в порядке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HYPERLINK \l "P138" \h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пункта 5.1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своих предложений по обсуждаемому вопросу.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Участники публичных слушаний, указанные в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HYPERLINK \l "P142" \h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п. 5.3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Положения, имеют право участвовать в обсуждении вопроса, вынесенного на публичные слушания, в том числе задавать уточняющие вопросы по позиции и (или) аргументам выступающего участника публичных слушаний, высказывать свое мнение.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Все участники публичных слушаний имеют право: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участвовать в обсуждении и принятии решений;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исключен. 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направлять требования и другие обращения граждан в органы государственной власти и органы местного самоуправления, общественные, международные и иные органы и организации.</w:t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Проведение публичных слушаний</w:t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Перед началом проведения публичных слушаний Оргкомитет организует регистрацию его участников с указанием фамилии, имени, отчества, года рождения, адреса места жительства.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Регистрацию участников и открытие публичных слушаний осуществляют уполномоченные Оргкомитетом по подготовке и проведению публичных слушаний лица.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Публичные слушания включают в себя следующие основные процедуры: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объявление цели слушаний;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выступление председателя публичных слушаний;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вопросы присутствующих и ответы на них;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выступления присутствующих;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HYPERLINK \l "P265" \h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итогового документа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Председатель публичных слушаний открывает слушания, оглашает тему публичных слушаний, перечень вопросов, выносимых на публичные слушания, основания и причины их проведения, предложения Оргкомитета по порядку проведения публичных слушаний, представляет секретаря публичных слушаний.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Время выступления определяется председателем публичных слушаний, исходя из количества выступающих и времени, отведенного для проведения публичных слушаний, но не более 10 минут на одно выступление.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На публичных слушаниях ведется протокол, в котором указываются дата и место их проведения, количество присутствующих, фамилия, имя, отчество председателя и секретаря публичных слушаний, содержание выступлений, результаты голосования и принятые решения, а также иные необходимые сведения. Протокол составляется в двух экземплярах и подписывается председателем и секретарем публичных слушаний. К протоколу прикладывается список граждан, принявших участие в публичных слушаниях.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по проекту муниципального правового акта в порядке поступления их предложений.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По окончании выступления участника публичных слушаний (или при истечении предоставленного времени), председательствующий дает возможность участникам публичных слушаний с правом обсуждения задать уточняющие вопросы по позиции и (или) аргументам выступающего участника публичных слушаний, внести свои предложения и предоставляет дополнительное время для ответов на вопросы.</w:t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VI.1. Особенности проведения публичных слушаний по проекту</w:t>
      </w:r>
    </w:p>
    <w:p>
      <w:pPr>
        <w:pStyle w:val="UserStyle_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плана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</w:t>
      </w:r>
    </w:p>
    <w:p>
      <w:pPr>
        <w:pStyle w:val="UserStyle_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, проекту о внесении изменений в Генеральный план</w:t>
      </w:r>
    </w:p>
    <w:p>
      <w:pPr>
        <w:pStyle w:val="UserStyle_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, проекту Правил</w:t>
      </w:r>
    </w:p>
    <w:p>
      <w:pPr>
        <w:pStyle w:val="UserStyle_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землепользования и застройки, проекту о внесении изменений в</w:t>
      </w:r>
    </w:p>
    <w:p>
      <w:pPr>
        <w:pStyle w:val="UserStyle_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землепользования и застройки, проектам планировки</w:t>
      </w:r>
    </w:p>
    <w:p>
      <w:pPr>
        <w:pStyle w:val="UserStyle_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территорий, проектам межевания территорий, по вопросам</w:t>
      </w:r>
    </w:p>
    <w:p>
      <w:pPr>
        <w:pStyle w:val="UserStyle_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получения разрешений на условно разрешенные виды</w:t>
      </w:r>
    </w:p>
    <w:p>
      <w:pPr>
        <w:pStyle w:val="UserStyle_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использования земельных участков и объектов капитального</w:t>
      </w:r>
    </w:p>
    <w:p>
      <w:pPr>
        <w:pStyle w:val="UserStyle_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строительства, на отклонение от предельных параметров</w:t>
      </w:r>
    </w:p>
    <w:p>
      <w:pPr>
        <w:pStyle w:val="UserStyle_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разрешенного строительства, реконструкции объектов</w:t>
      </w:r>
    </w:p>
    <w:p>
      <w:pPr>
        <w:pStyle w:val="UserStyle_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капитального строительства</w:t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Исключен.</w:t>
      </w:r>
      <w:r>
        <w:rPr>
          <w:rFonts w:ascii="Times New Roman" w:hAnsi="Times New Roman"/>
          <w:sz w:val="24"/>
          <w:szCs w:val="24"/>
        </w:rPr>
      </w:r>
    </w:p>
    <w:p>
      <w:pPr>
        <w:pStyle w:val="UserStyle_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Результаты публичных слушаний</w:t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процессе проведения публичных слушаний принимаются предложения по обсуждаемым вопросам, оформленные в протоколе проведения публичных слушаний.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Принятые на публичных слушаниях предложения включаются в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HYPERLINK \l "P265" \h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итоговый документ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публичных слушаний, составленный по форме согласно приложению 2 к настоящему Положению.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исключен.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HYPERLINK \l "P265" \h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Итоговый документ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Итоговый документ публичных слушаний представляется Саратовской городской Думе или главе муниципального образования, принявшим решение о проведении публичных слушаний.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Саратовская городская Дума или глава муниципального образования, принявшие решение о проведении публичных слушаний, обеспечивают опубликование итогового документа публичных слушаний в течение 10 дней со дня проведения публичных слушаний.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документ публичных слушаний опубликовывается в газете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Саратовская панорама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, а также размещается (опубликовывается) на официальном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(электронный адрес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Интернет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: www.saratovmer.ru) или официальном сайте Саратовской городской Думы (электронный адрес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Интернет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: www.saratovduma.ru).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опубликования (обнародования) результатов публичных слушаний, включая мотивированное обоснование принятых решений, может быть использован Единый портал, порядок использования которого для целей настоящего пункта устанавливается Правительством Российской Федерации.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Решения публичных слушаний для органов местного самоуправления носят рекомендательный характер. Рекомендации, содержащиеся в решениях, рассматриваются органами местного самоуправления при принятии муниципальных правовых актов.</w:t>
      </w:r>
    </w:p>
    <w:p>
      <w:pPr>
        <w:pStyle w:val="UserStyle_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 Должностные лица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несут ответственность за неисполнение настоящего решения в порядке, установленном действующим законодательством.</w:t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sectPr>
          <w:headerReference w:type="default" r:id="rId6"/>
          <w:type w:val="nextPage"/>
          <w:pgSz w:w="11906" w:h="16838"/>
          <w:pgMar w:top="1134" w:right="850" w:bottom="1134" w:left="1701" w:header="708" w:footer="708" w:gutter="0"/>
          <w:cols w:space="708"/>
          <w:docGrid w:linePitch="360"/>
          <w:titlePg/>
        </w:sect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UserStyle_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</w:t>
      </w:r>
    </w:p>
    <w:p>
      <w:pPr>
        <w:pStyle w:val="UserStyle_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</w:t>
      </w:r>
    </w:p>
    <w:p>
      <w:pPr>
        <w:pStyle w:val="UserStyle_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публичных слушаниях в муниципальном образовании</w:t>
      </w:r>
    </w:p>
    <w:p>
      <w:pPr>
        <w:pStyle w:val="UserStyle_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jc w:val="center"/>
        <w:rPr>
          <w:rFonts w:ascii="Times New Roman" w:hAnsi="Times New Roman"/>
          <w:sz w:val="24"/>
          <w:szCs w:val="24"/>
        </w:rPr>
      </w:pPr>
      <w:bookmarkStart w:id="7" w:name="P213"/>
      <w:bookmarkEnd w:id="7"/>
      <w:r>
        <w:rPr>
          <w:rFonts w:ascii="Times New Roman" w:hAnsi="Times New Roman"/>
          <w:sz w:val="24"/>
          <w:szCs w:val="24"/>
        </w:rPr>
        <w:t xml:space="preserve">Список инициативной группы</w:t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4"/>
        <w:gridCol w:w="2154"/>
        <w:gridCol w:w="1474"/>
        <w:gridCol w:w="3231"/>
        <w:gridCol w:w="1361"/>
      </w:tblGrid>
      <w:tr>
        <w:tc>
          <w:tcPr>
            <w:tcW w:w="624" w:type="dxa"/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154" w:type="dxa"/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и дата рождения</w:t>
            </w:r>
          </w:p>
        </w:tc>
        <w:tc>
          <w:tcPr>
            <w:tcW w:w="1474" w:type="dxa"/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</w:t>
            </w:r>
          </w:p>
        </w:tc>
        <w:tc>
          <w:tcPr>
            <w:tcW w:w="3231" w:type="dxa"/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Паспортные данные (серия, номер, документа, удостоверяющего личность, кем и когда выдан)</w:t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Личная подпись</w:t>
            </w:r>
          </w:p>
        </w:tc>
      </w:tr>
      <w:tr>
        <w:tc>
          <w:tcPr>
            <w:tcW w:w="62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5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1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c>
          <w:tcPr>
            <w:tcW w:w="62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5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1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c>
          <w:tcPr>
            <w:tcW w:w="62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5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1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c>
          <w:tcPr>
            <w:tcW w:w="62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5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1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c>
          <w:tcPr>
            <w:tcW w:w="62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5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1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c>
          <w:tcPr>
            <w:tcW w:w="62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5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1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c>
          <w:tcPr>
            <w:tcW w:w="62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5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4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1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sectPr>
          <w:type w:val="nextPage"/>
          <w:pgSz w:w="11906" w:h="16838"/>
          <w:pgMar w:top="1134" w:right="850" w:bottom="1134" w:left="1701" w:header="708" w:footer="708" w:gutter="0"/>
          <w:cols w:space="708"/>
          <w:docGrid w:linePitch="360"/>
          <w:titlePg/>
        </w:sect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UserStyle_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</w:t>
      </w:r>
    </w:p>
    <w:p>
      <w:pPr>
        <w:pStyle w:val="UserStyle_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</w:t>
      </w:r>
    </w:p>
    <w:p>
      <w:pPr>
        <w:pStyle w:val="UserStyle_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публичных слушаниях в муниципальном образовании</w:t>
      </w:r>
    </w:p>
    <w:p>
      <w:pPr>
        <w:pStyle w:val="UserStyle_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Город Саратов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1"/>
        <w:jc w:val="both"/>
        <w:rPr>
          <w:rFonts w:ascii="Times New Roman" w:hAnsi="Times New Roman"/>
          <w:sz w:val="24"/>
          <w:szCs w:val="24"/>
        </w:rPr>
      </w:pPr>
      <w:bookmarkStart w:id="8" w:name="P265"/>
      <w:bookmarkEnd w:id="8"/>
      <w:r>
        <w:rPr>
          <w:rFonts w:ascii="Times New Roman" w:hAnsi="Times New Roman"/>
          <w:sz w:val="24"/>
          <w:szCs w:val="24"/>
        </w:rPr>
        <w:t xml:space="preserve">                   ИТОГОВЫЙ ДОКУМЕНТ ПУБЛИЧНЫХ СЛУШАНИЙ</w:t>
      </w:r>
    </w:p>
    <w:p>
      <w:pPr>
        <w:pStyle w:val="UserStyle_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Публичные   слушания  назначены  решением  Саратовской  городской  Думы</w:t>
      </w:r>
    </w:p>
    <w:p>
      <w:pPr>
        <w:pStyle w:val="UserStyle_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(постановлением главы муниципального образования) от ________ </w:t>
      </w:r>
      <w:r>
        <w:rPr>
          <w:rFonts w:ascii="Times New Roman" w:hAnsi="Times New Roman"/>
          <w:sz w:val="24"/>
          <w:szCs w:val="24"/>
        </w:rPr>
        <w:t xml:space="preserve">№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>
      <w:pPr>
        <w:pStyle w:val="UserStyle_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Тема публичных слушаний:</w:t>
      </w:r>
    </w:p>
    <w:p>
      <w:pPr>
        <w:pStyle w:val="UserStyle_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</w:t>
      </w:r>
    </w:p>
    <w:p>
      <w:pPr>
        <w:pStyle w:val="UserStyle_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</w:t>
      </w:r>
    </w:p>
    <w:p>
      <w:pPr>
        <w:pStyle w:val="UserStyle_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</w:t>
      </w:r>
    </w:p>
    <w:p>
      <w:pPr>
        <w:pStyle w:val="UserStyle_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</w:t>
      </w:r>
    </w:p>
    <w:p>
      <w:pPr>
        <w:pStyle w:val="UserStyle_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Дата проведения публичных слушаний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___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____________ ______ г.</w:t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80"/>
        <w:gridCol w:w="1792"/>
        <w:gridCol w:w="1134"/>
        <w:gridCol w:w="2177"/>
        <w:gridCol w:w="2217"/>
        <w:gridCol w:w="1418"/>
      </w:tblGrid>
      <w:tr>
        <w:trPr/>
        <w:tc>
          <w:tcPr>
            <w:tcW w:w="680" w:type="dxa"/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792" w:type="dxa"/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Вопросы, вынесенные на обсуждение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рекомендации</w:t>
            </w:r>
          </w:p>
        </w:tc>
        <w:tc>
          <w:tcPr>
            <w:tcW w:w="2177" w:type="dxa"/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и рекомендации экспертов, дата их внесения</w:t>
            </w:r>
          </w:p>
        </w:tc>
        <w:tc>
          <w:tcPr>
            <w:tcW w:w="2217" w:type="dxa"/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внесено (поддержано)</w:t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рассмотрения вопроса</w:t>
            </w:r>
          </w:p>
        </w:tc>
      </w:tr>
      <w:tr>
        <w:trPr>
          <w:cantSplit/>
        </w:trPr>
        <w:tc>
          <w:tcPr>
            <w:tcW w:w="680" w:type="dxa"/>
            <w:vMerge w:val="restart"/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</w:p>
        </w:tc>
        <w:tc>
          <w:tcPr>
            <w:tcW w:w="1792" w:type="dxa"/>
            <w:vMerge w:val="restart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Формулировка вопроса</w:t>
            </w:r>
          </w:p>
        </w:tc>
        <w:tc>
          <w:tcPr>
            <w:tcW w:w="1134" w:type="dxa"/>
            <w:tcBorders>
              <w:bottom w:val="none"/>
            </w:tcBorders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</w:t>
            </w:r>
          </w:p>
        </w:tc>
        <w:tc>
          <w:tcPr>
            <w:tcW w:w="2177" w:type="dxa"/>
            <w:tcBorders>
              <w:bottom w:val="none"/>
            </w:tcBorders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рекомендации (предложения)</w:t>
            </w:r>
          </w:p>
        </w:tc>
        <w:tc>
          <w:tcPr>
            <w:tcW w:w="2217" w:type="dxa"/>
            <w:tcBorders>
              <w:bottom w:val="none"/>
            </w:tcBorders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эксперта (название организации)</w:t>
            </w:r>
          </w:p>
        </w:tc>
        <w:tc>
          <w:tcPr>
            <w:tcW w:w="1418" w:type="dxa"/>
            <w:vMerge w:val="restart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680" w:type="dxa"/>
            <w:vMerge w:val="continue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2" w:type="dxa"/>
            <w:vMerge w:val="continue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none"/>
            </w:tcBorders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</w:t>
            </w:r>
          </w:p>
        </w:tc>
        <w:tc>
          <w:tcPr>
            <w:tcW w:w="2177" w:type="dxa"/>
            <w:tcBorders>
              <w:top w:val="none"/>
            </w:tcBorders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рекомендации (предложения)</w:t>
            </w:r>
          </w:p>
        </w:tc>
        <w:tc>
          <w:tcPr>
            <w:tcW w:w="2217" w:type="dxa"/>
            <w:tcBorders>
              <w:top w:val="none"/>
            </w:tcBorders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эксперта (название организации)</w:t>
            </w:r>
          </w:p>
        </w:tc>
        <w:tc>
          <w:tcPr>
            <w:tcW w:w="1418" w:type="dxa"/>
            <w:vMerge w:val="continue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680" w:type="dxa"/>
            <w:vMerge w:val="restart"/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</w:p>
        </w:tc>
        <w:tc>
          <w:tcPr>
            <w:tcW w:w="1792" w:type="dxa"/>
            <w:vMerge w:val="restart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Формулировка вопроса</w:t>
            </w:r>
          </w:p>
        </w:tc>
        <w:tc>
          <w:tcPr>
            <w:tcW w:w="1134" w:type="dxa"/>
            <w:tcBorders>
              <w:bottom w:val="none"/>
            </w:tcBorders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</w:t>
            </w:r>
          </w:p>
        </w:tc>
        <w:tc>
          <w:tcPr>
            <w:tcW w:w="2177" w:type="dxa"/>
            <w:tcBorders>
              <w:bottom w:val="none"/>
            </w:tcBorders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рекомендации (предложения)</w:t>
            </w:r>
          </w:p>
        </w:tc>
        <w:tc>
          <w:tcPr>
            <w:tcW w:w="2217" w:type="dxa"/>
            <w:tcBorders>
              <w:bottom w:val="none"/>
            </w:tcBorders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эксперта (название организации)</w:t>
            </w:r>
          </w:p>
        </w:tc>
        <w:tc>
          <w:tcPr>
            <w:tcW w:w="1418" w:type="dxa"/>
            <w:vMerge w:val="restart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680" w:type="dxa"/>
            <w:vMerge w:val="continue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2" w:type="dxa"/>
            <w:vMerge w:val="continue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none"/>
            </w:tcBorders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</w:t>
            </w:r>
          </w:p>
        </w:tc>
        <w:tc>
          <w:tcPr>
            <w:tcW w:w="2177" w:type="dxa"/>
            <w:tcBorders>
              <w:top w:val="none"/>
            </w:tcBorders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рекомендации (предложения)</w:t>
            </w:r>
          </w:p>
        </w:tc>
        <w:tc>
          <w:tcPr>
            <w:tcW w:w="2217" w:type="dxa"/>
            <w:tcBorders>
              <w:top w:val="none"/>
            </w:tcBorders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эксперта (название организации)</w:t>
            </w:r>
          </w:p>
        </w:tc>
        <w:tc>
          <w:tcPr>
            <w:tcW w:w="1418" w:type="dxa"/>
            <w:vMerge w:val="continue"/>
            <w:textDirection w:val="lrTb"/>
            <w:vAlign w:val="top"/>
          </w:tcPr>
          <w:p>
            <w:pPr>
              <w:pStyle w:val="UserStyle_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Председатель                       И.О. Фамилия</w:t>
      </w:r>
    </w:p>
    <w:p>
      <w:pPr>
        <w:pStyle w:val="UserStyle_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Секретарь                          И.О. Фамилия</w:t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Style_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top="1134" w:right="850" w:bottom="1134" w:left="1701" w:header="708" w:footer="708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7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pPr>
      <w:spacing w:after="200" w:line="276" w:lineRule="auto"/>
    </w:pPr>
    <w:rPr>
      <w:sz w:val="22"/>
      <w:szCs w:val="22"/>
      <w:lang w:val="ru-RU" w:bidi="ar-SA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ConsPlusNormal"/>
    <w:next w:val="UserStyle_0"/>
    <w:link w:val="Normal"/>
    <w:pPr>
      <w:widowControl w:val="off"/>
    </w:pPr>
    <w:rPr>
      <w:rFonts w:ascii="Arial" w:hAnsi="Arial" w:eastAsia="Times New Roman"/>
      <w:szCs w:val="22"/>
      <w:lang w:val="ru-RU" w:bidi="ar-SA" w:eastAsia="ru-RU"/>
    </w:rPr>
  </w:style>
  <w:style w:type="paragraph" w:styleId="UserStyle_1">
    <w:name w:val="ConsPlusNonformat"/>
    <w:next w:val="UserStyle_1"/>
    <w:link w:val="Normal"/>
    <w:pPr>
      <w:widowControl w:val="off"/>
    </w:pPr>
    <w:rPr>
      <w:rFonts w:ascii="Courier New" w:hAnsi="Courier New" w:eastAsia="Times New Roman"/>
      <w:szCs w:val="22"/>
      <w:lang w:val="ru-RU" w:bidi="ar-SA" w:eastAsia="ru-RU"/>
    </w:rPr>
  </w:style>
  <w:style w:type="paragraph" w:styleId="UserStyle_2">
    <w:name w:val="ConsPlusTitle"/>
    <w:next w:val="UserStyle_2"/>
    <w:link w:val="Normal"/>
    <w:pPr>
      <w:widowControl w:val="off"/>
    </w:pPr>
    <w:rPr>
      <w:rFonts w:ascii="Arial" w:hAnsi="Arial" w:eastAsia="Times New Roman"/>
      <w:b/>
      <w:szCs w:val="22"/>
      <w:lang w:val="ru-RU" w:bidi="ar-SA" w:eastAsia="ru-RU"/>
    </w:rPr>
  </w:style>
  <w:style w:type="paragraph" w:styleId="UserStyle_3">
    <w:name w:val="ConsPlusTitlePage"/>
    <w:next w:val="UserStyle_3"/>
    <w:link w:val="Normal"/>
    <w:pPr>
      <w:widowControl w:val="off"/>
    </w:pPr>
    <w:rPr>
      <w:rFonts w:ascii="Tahoma" w:hAnsi="Tahoma" w:eastAsia="Times New Roman"/>
      <w:szCs w:val="22"/>
      <w:lang w:val="ru-RU" w:bidi="ar-SA" w:eastAsia="ru-RU"/>
    </w:rPr>
  </w:style>
  <w:style w:type="paragraph" w:styleId="Header">
    <w:name w:val="Верхний колонтитул"/>
    <w:basedOn w:val="Normal"/>
    <w:next w:val="Header"/>
    <w:link w:val="UserStyle_4"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UserStyle_4">
    <w:name w:val="Верхний колонтитул Знак"/>
    <w:basedOn w:val="NormalCharacter"/>
    <w:next w:val="UserStyle_4"/>
    <w:link w:val="Header"/>
  </w:style>
  <w:style w:type="paragraph" w:styleId="Footer">
    <w:name w:val="Нижний колонтитул"/>
    <w:basedOn w:val="Normal"/>
    <w:next w:val="Footer"/>
    <w:link w:val="UserStyle_5"/>
    <w:semiHidden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UserStyle_5">
    <w:name w:val="Нижний колонтитул Знак"/>
    <w:basedOn w:val="NormalCharacter"/>
    <w:next w:val="UserStyle_5"/>
    <w:link w:val="Footer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